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68" w:rsidRPr="00223AD8" w:rsidRDefault="00FE3468" w:rsidP="00223AD8">
      <w:pPr>
        <w:pStyle w:val="SupplementaryMaterial"/>
        <w:rPr>
          <w:szCs w:val="24"/>
        </w:rPr>
      </w:pPr>
      <w:r w:rsidRPr="00223AD8">
        <w:rPr>
          <w:szCs w:val="24"/>
        </w:rPr>
        <w:t>Supplementary Material</w:t>
      </w:r>
    </w:p>
    <w:p w:rsidR="00276DA5" w:rsidRPr="00A20580" w:rsidRDefault="00E5624E" w:rsidP="00E562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it-IT"/>
        </w:rPr>
        <w:t>Maximum growth potential and periods of resource limitation in apple tree</w:t>
      </w:r>
    </w:p>
    <w:p w:rsidR="00532499" w:rsidRPr="00532499" w:rsidRDefault="00696BA7" w:rsidP="005324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Francesco </w:t>
      </w:r>
      <w:r w:rsidR="00532499" w:rsidRPr="00532499">
        <w:rPr>
          <w:rFonts w:ascii="Times New Roman" w:eastAsia="Times New Roman" w:hAnsi="Times New Roman" w:cs="Times New Roman"/>
          <w:sz w:val="24"/>
          <w:szCs w:val="24"/>
          <w:lang w:eastAsia="it-IT"/>
        </w:rPr>
        <w:t>Reyes</w:t>
      </w:r>
      <w:r w:rsidR="00532499" w:rsidRPr="00532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</w:t>
      </w:r>
      <w:r w:rsidR="00532499" w:rsidRPr="00532499">
        <w:rPr>
          <w:rFonts w:ascii="Times New Roman" w:eastAsia="Times New Roman" w:hAnsi="Times New Roman" w:cs="Times New Roman"/>
          <w:sz w:val="24"/>
          <w:szCs w:val="24"/>
          <w:lang w:eastAsia="it-IT"/>
        </w:rPr>
        <w:t>, Theodore DeJong, Pietro Franceschi, Massimo Tagliavini and Damiano Gianelle</w:t>
      </w:r>
    </w:p>
    <w:p w:rsidR="00FE3468" w:rsidRPr="00532499" w:rsidRDefault="00FE3468" w:rsidP="00FE34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3249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*</w:t>
      </w:r>
      <w:r w:rsidRPr="0053249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Correspondence</w:t>
      </w:r>
      <w:r w:rsidRPr="0053249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: francesco.reyes@fmach.it, Via E. Mach, 1 38010 S. Michele all'Adige (TN) – Italy</w:t>
      </w:r>
    </w:p>
    <w:p w:rsidR="00FE3468" w:rsidRPr="00532499" w:rsidRDefault="00FE3468" w:rsidP="00FE34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F27" w:rsidRPr="00532499" w:rsidRDefault="00322F27" w:rsidP="00322F27">
      <w:pPr>
        <w:pStyle w:val="Heading1"/>
      </w:pPr>
      <w:r w:rsidRPr="00532499">
        <w:t>Supplementary Figures and Tables</w:t>
      </w:r>
    </w:p>
    <w:p w:rsidR="00322F27" w:rsidRPr="00532499" w:rsidRDefault="00322F27" w:rsidP="00322F27">
      <w:pPr>
        <w:pStyle w:val="Heading2"/>
      </w:pPr>
      <w:r w:rsidRPr="00532499">
        <w:t>Supplementary Figures</w:t>
      </w:r>
    </w:p>
    <w:p w:rsidR="003A3A11" w:rsidRDefault="003A3A11" w:rsidP="003A3A11">
      <w:pPr>
        <w:keepNext/>
        <w:jc w:val="center"/>
      </w:pPr>
      <w:r>
        <w:rPr>
          <w:noProof/>
          <w:szCs w:val="24"/>
          <w:lang w:eastAsia="it-IT"/>
        </w:rPr>
        <w:drawing>
          <wp:inline distT="0" distB="0" distL="0" distR="0" wp14:anchorId="76A5DF3A" wp14:editId="5471B41F">
            <wp:extent cx="4032000" cy="403200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- Rplot08_Adj.R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99" w:rsidRPr="003A3A11" w:rsidRDefault="003A3A11" w:rsidP="003A3A11">
      <w:pPr>
        <w:pStyle w:val="Caption"/>
        <w:jc w:val="center"/>
        <w:rPr>
          <w:lang w:val="en-US"/>
        </w:rPr>
      </w:pP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Figure</w:t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fldChar w:fldCharType="begin"/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instrText xml:space="preserve"> SEQ Supplementary_Table \* ARABIC </w:instrText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fldChar w:fldCharType="separate"/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1</w:t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fldChar w:fldCharType="end"/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:</w:t>
      </w:r>
      <w:r w:rsidRPr="003A3A11">
        <w:rPr>
          <w:lang w:val="en-US"/>
        </w:rPr>
        <w:t xml:space="preserve"> </w:t>
      </w:r>
      <w:r w:rsidRPr="003A3A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Predicted versus observed dry weight of tagged shoots.</w:t>
      </w:r>
    </w:p>
    <w:p w:rsidR="00532499" w:rsidRDefault="00532499" w:rsidP="00223A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29C0D2E0" wp14:editId="65669884">
            <wp:extent cx="4201970" cy="372218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834" cy="374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99" w:rsidRPr="00532499" w:rsidRDefault="00532499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2: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Distribution of the residual error</w:t>
      </w:r>
      <w:r w:rsidR="00595CA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s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between predicted and observed stem dry weights.</w:t>
      </w:r>
    </w:p>
    <w:p w:rsidR="001D3653" w:rsidRDefault="00281F4D" w:rsidP="00223AD8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BF5E230" wp14:editId="12F303F0">
            <wp:extent cx="4168239" cy="3692309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0985" cy="369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99" w:rsidRPr="00532499" w:rsidRDefault="00532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3: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Q-Q plot of the multivariate model used to predict stem dry weights.</w:t>
      </w:r>
    </w:p>
    <w:p w:rsidR="003A3A11" w:rsidRDefault="003A3A11" w:rsidP="003A3A11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68D7594" wp14:editId="7BE4611D">
            <wp:extent cx="4032000" cy="4032000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- Estimated vs Measured Apple dry weight_Adj.R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11" w:rsidRPr="003A3A11" w:rsidRDefault="003A3A11" w:rsidP="003A3A11">
      <w:pPr>
        <w:pStyle w:val="Caption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</w:pP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4</w:t>
      </w:r>
      <w:r w:rsidRPr="003A3A1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:</w:t>
      </w:r>
      <w:r w:rsidRPr="003A3A1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  <w:t xml:space="preserve"> Predicted versus observed dry weight of tagged apples on fruited (Fru) and heavily thinned (Thi) trees.</w:t>
      </w:r>
    </w:p>
    <w:p w:rsidR="00532499" w:rsidRDefault="00532499" w:rsidP="00223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BEA03C1" wp14:editId="5B9EEF75">
            <wp:extent cx="4203865" cy="3096846"/>
            <wp:effectExtent l="0" t="0" r="635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3" cy="31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99" w:rsidRPr="00532499" w:rsidRDefault="00532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5: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Distribution of the residual error between predicted and observed apple dry weights.</w:t>
      </w:r>
    </w:p>
    <w:p w:rsidR="00CD7DF7" w:rsidRDefault="00281F4D" w:rsidP="00223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7B554E84" wp14:editId="12B21731">
            <wp:extent cx="4180114" cy="3079351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9665" cy="30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4D" w:rsidRDefault="00532499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6: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Q-Q plot of the multivariate model used to predict apple dry weights.</w:t>
      </w:r>
    </w:p>
    <w:p w:rsidR="003A3A11" w:rsidRPr="00532499" w:rsidRDefault="003A3A11" w:rsidP="003A3A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5D9459F" wp14:editId="5B50C472">
            <wp:extent cx="3886200" cy="3886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86" cy="388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11" w:rsidRPr="00532499" w:rsidRDefault="003A3A11" w:rsidP="003A3A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7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Fruit dry weight at the beginning vs at the end of the growing season. The straight line indicates the linear model fitted through the two variables.</w:t>
      </w:r>
    </w:p>
    <w:p w:rsidR="003A3A11" w:rsidRDefault="003A3A11" w:rsidP="003A3A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48D2188" wp14:editId="754C2942">
            <wp:extent cx="3586348" cy="358634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- Apple dry weight vs Rank RGR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62" cy="35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11" w:rsidRPr="00532499" w:rsidRDefault="003A3A11" w:rsidP="003A3A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8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Rank of the early season individual fruit RGR vs fruit dry weight in early June.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High ranks correspond to high early season RGR.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The straight line indicates the linear model fitted through the two variables.</w:t>
      </w:r>
    </w:p>
    <w:p w:rsidR="001D3653" w:rsidRDefault="002C3695" w:rsidP="00223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5306261" wp14:editId="3C3B0A31">
            <wp:extent cx="3829050" cy="3829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99" w:rsidRPr="00532499" w:rsidRDefault="00532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</w:t>
      </w:r>
      <w:r w:rsidR="002E50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9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Dry masses and estimated densities of stems from fruited (F</w:t>
      </w:r>
      <w:r w:rsidR="000D63C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ru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) </w:t>
      </w:r>
      <w:r w:rsidR="00EF507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and </w:t>
      </w:r>
      <w:r w:rsidR="00EF5071"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defruited (D</w:t>
      </w:r>
      <w:r w:rsidR="000D63C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ef</w:t>
      </w:r>
      <w:r w:rsidR="00EF5071"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)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trees sampled during the winter following the growing season.</w:t>
      </w:r>
    </w:p>
    <w:p w:rsidR="001B4FDF" w:rsidRPr="00532499" w:rsidRDefault="009B0FF9" w:rsidP="00223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002C34E" wp14:editId="450B6871">
            <wp:extent cx="4923129" cy="35163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8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64" cy="351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DF" w:rsidRPr="00EF5071" w:rsidRDefault="00532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Figure </w:t>
      </w:r>
      <w:r w:rsidR="002E50E1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10</w:t>
      </w:r>
      <w:r w:rsidRPr="00532499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:</w:t>
      </w:r>
      <w:r w:rsidRPr="005324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B0FF9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</w:t>
      </w:r>
      <w:r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stimated </w:t>
      </w:r>
      <w:r w:rsidR="009B0FF9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density</w:t>
      </w:r>
      <w:r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B0FF9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of fruits sampled from </w:t>
      </w:r>
      <w:r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fruited (Fru)</w:t>
      </w:r>
      <w:r w:rsidR="00967D26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r w:rsidR="009B0FF9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heavily </w:t>
      </w:r>
      <w:r w:rsidR="00967D26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thinned (Thi) trees </w:t>
      </w:r>
      <w:r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during the growing season</w:t>
      </w:r>
      <w:r w:rsidR="009B0FF9"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(DOY: day of the year)</w:t>
      </w:r>
      <w:r w:rsidRPr="00EF50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DE3FFA" w:rsidRDefault="007B3799" w:rsidP="00223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975198" wp14:editId="2421E4A0">
            <wp:extent cx="3610099" cy="3610099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4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96" cy="361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FA" w:rsidRPr="00532499" w:rsidRDefault="00532499" w:rsidP="00DE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5324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11: 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Mean relative growth rates of apples on fruited (F</w:t>
      </w:r>
      <w:r w:rsidR="00255A1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ru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) and thinned (T</w:t>
      </w:r>
      <w:r w:rsidR="00255A1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hi</w:t>
      </w:r>
      <w:r w:rsidRPr="0053249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) trees, and the five apples that reached the highest dry mass by harvest (Max), vs the accumulated degree days from bloom.</w:t>
      </w:r>
    </w:p>
    <w:tbl>
      <w:tblPr>
        <w:tblW w:w="9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8"/>
      </w:tblGrid>
      <w:tr w:rsidR="00532499" w:rsidRPr="005331C2" w:rsidTr="001C12C2">
        <w:trPr>
          <w:trHeight w:val="300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F27" w:rsidRPr="00532499" w:rsidRDefault="00322F27" w:rsidP="001C12C2">
            <w:pPr>
              <w:pStyle w:val="Heading2"/>
            </w:pPr>
            <w:r w:rsidRPr="00532499">
              <w:lastRenderedPageBreak/>
              <w:t>Supplementary Tables</w:t>
            </w:r>
          </w:p>
          <w:p w:rsidR="00032F1E" w:rsidRDefault="00032F1E" w:rsidP="00032F1E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C90285" w:rsidRPr="00C90285" w:rsidRDefault="00C90285" w:rsidP="00C90285">
            <w:pPr>
              <w:pStyle w:val="Caption"/>
              <w:keepNext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C90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Supplementary Table </w:t>
            </w:r>
            <w:r w:rsidR="00F36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C90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C90285">
              <w:rPr>
                <w:lang w:val="en-US"/>
              </w:rPr>
              <w:t xml:space="preserve"> </w:t>
            </w:r>
            <w:r w:rsidRPr="002205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Soil nutrient analysis. </w:t>
            </w:r>
            <w:r w:rsidRPr="00C902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Organic carbon, to</w:t>
            </w:r>
            <w:r w:rsidR="002205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tal nitrogen, available phosphor</w:t>
            </w:r>
            <w:r w:rsidRPr="00C902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us and exchangeble potassium measured at three dept</w:t>
            </w:r>
            <w:r w:rsidR="002205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</w:t>
            </w:r>
            <w:r w:rsidRPr="00C902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s, along and between the rows.</w:t>
            </w:r>
          </w:p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000"/>
              <w:gridCol w:w="680"/>
              <w:gridCol w:w="820"/>
              <w:gridCol w:w="960"/>
              <w:gridCol w:w="680"/>
              <w:gridCol w:w="820"/>
              <w:gridCol w:w="960"/>
            </w:tblGrid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</w:p>
              </w:tc>
              <w:tc>
                <w:tcPr>
                  <w:tcW w:w="24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Row</w:t>
                  </w:r>
                </w:p>
              </w:tc>
              <w:tc>
                <w:tcPr>
                  <w:tcW w:w="24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Inter-row</w:t>
                  </w:r>
                </w:p>
              </w:tc>
            </w:tr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Soil depth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(cm)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 to 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5 to 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25 to 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 to 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5 to 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25 to 60</w:t>
                  </w:r>
                </w:p>
              </w:tc>
            </w:tr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Organic carbon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C %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2.84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1.19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2.63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1.2</w:t>
                  </w:r>
                </w:p>
              </w:tc>
            </w:tr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Total nitrogen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N %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0.11</w:t>
                  </w:r>
                </w:p>
              </w:tc>
            </w:tr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220541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Available phosphor</w:t>
                  </w:r>
                  <w:r w:rsidR="00C90285"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us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P mg/Kg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54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28</w:t>
                  </w:r>
                </w:p>
              </w:tc>
            </w:tr>
            <w:tr w:rsidR="00C90285" w:rsidRPr="00C90285" w:rsidTr="00C9028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Exchangeable potassium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K mg/Kg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214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93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78.6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285" w:rsidRPr="00C90285" w:rsidRDefault="00C90285" w:rsidP="00C902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C9028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74</w:t>
                  </w:r>
                </w:p>
              </w:tc>
            </w:tr>
          </w:tbl>
          <w:p w:rsidR="00322F27" w:rsidRPr="00532499" w:rsidRDefault="00322F27" w:rsidP="00E369D8">
            <w:pPr>
              <w:pStyle w:val="Caption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t-IT"/>
              </w:rPr>
            </w:pPr>
          </w:p>
        </w:tc>
      </w:tr>
    </w:tbl>
    <w:p w:rsidR="00F36B77" w:rsidRPr="00532499" w:rsidRDefault="00F36B77" w:rsidP="00322F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F1E" w:rsidRPr="00032F1E" w:rsidRDefault="00032F1E" w:rsidP="00032F1E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  <w:r w:rsidRPr="00032F1E">
        <w:rPr>
          <w:rFonts w:ascii="Times New Roman" w:hAnsi="Times New Roman" w:cs="Times New Roman"/>
          <w:color w:val="auto"/>
          <w:sz w:val="24"/>
          <w:lang w:val="en-US"/>
        </w:rPr>
        <w:t xml:space="preserve">Supplementary Table </w:t>
      </w:r>
      <w:r w:rsidRPr="00032F1E">
        <w:rPr>
          <w:rFonts w:ascii="Times New Roman" w:hAnsi="Times New Roman" w:cs="Times New Roman"/>
          <w:color w:val="auto"/>
          <w:sz w:val="24"/>
        </w:rPr>
        <w:fldChar w:fldCharType="begin"/>
      </w:r>
      <w:r w:rsidRPr="00032F1E">
        <w:rPr>
          <w:rFonts w:ascii="Times New Roman" w:hAnsi="Times New Roman" w:cs="Times New Roman"/>
          <w:color w:val="auto"/>
          <w:sz w:val="24"/>
          <w:lang w:val="en-US"/>
        </w:rPr>
        <w:instrText xml:space="preserve"> SEQ Table \* ARABIC </w:instrText>
      </w:r>
      <w:r w:rsidRPr="00032F1E">
        <w:rPr>
          <w:rFonts w:ascii="Times New Roman" w:hAnsi="Times New Roman" w:cs="Times New Roman"/>
          <w:color w:val="auto"/>
          <w:sz w:val="24"/>
        </w:rPr>
        <w:fldChar w:fldCharType="separate"/>
      </w:r>
      <w:r w:rsidR="00780863">
        <w:rPr>
          <w:rFonts w:ascii="Times New Roman" w:hAnsi="Times New Roman" w:cs="Times New Roman"/>
          <w:noProof/>
          <w:color w:val="auto"/>
          <w:sz w:val="24"/>
          <w:lang w:val="en-US"/>
        </w:rPr>
        <w:t>2</w:t>
      </w:r>
      <w:r w:rsidRPr="00032F1E">
        <w:rPr>
          <w:rFonts w:ascii="Times New Roman" w:hAnsi="Times New Roman" w:cs="Times New Roman"/>
          <w:color w:val="auto"/>
          <w:sz w:val="24"/>
        </w:rPr>
        <w:fldChar w:fldCharType="end"/>
      </w:r>
      <w:r w:rsidR="00463B7E">
        <w:rPr>
          <w:rFonts w:ascii="Times New Roman" w:hAnsi="Times New Roman" w:cs="Times New Roman"/>
          <w:color w:val="auto"/>
          <w:sz w:val="24"/>
          <w:lang w:val="en-US"/>
        </w:rPr>
        <w:t>: Shoot len</w:t>
      </w:r>
      <w:r w:rsidR="00463B7E" w:rsidRPr="00463B7E">
        <w:rPr>
          <w:rFonts w:ascii="Times New Roman" w:hAnsi="Times New Roman" w:cs="Times New Roman"/>
          <w:color w:val="auto"/>
          <w:sz w:val="24"/>
          <w:lang w:val="en-US"/>
        </w:rPr>
        <w:t xml:space="preserve">gth </w:t>
      </w:r>
      <w:r w:rsidR="00D14C6D">
        <w:rPr>
          <w:rFonts w:ascii="Times New Roman" w:hAnsi="Times New Roman" w:cs="Times New Roman"/>
          <w:color w:val="auto"/>
          <w:sz w:val="24"/>
          <w:lang w:val="en-US"/>
        </w:rPr>
        <w:t>during the growing season</w:t>
      </w:r>
      <w:r w:rsidRPr="00032F1E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="00463B7E" w:rsidRP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The 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>mean and standard deviation (SD) for f</w:t>
      </w:r>
      <w:r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ruited (Fru) and defruited (Def) trees, and for proleptic and epicormic shoots extracted from the Def population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are shown</w:t>
      </w:r>
      <w:r w:rsid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in respect to </w:t>
      </w:r>
      <w:r w:rsidR="00D14C6D" w:rsidRPr="00D14C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  <w:t>the Day of the Year (DOY)</w:t>
      </w:r>
      <w:r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.</w:t>
      </w:r>
    </w:p>
    <w:tbl>
      <w:tblPr>
        <w:tblW w:w="8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13"/>
        <w:gridCol w:w="531"/>
        <w:gridCol w:w="1213"/>
        <w:gridCol w:w="531"/>
        <w:gridCol w:w="1232"/>
        <w:gridCol w:w="419"/>
        <w:gridCol w:w="1559"/>
        <w:gridCol w:w="601"/>
      </w:tblGrid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Def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Proleptic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Epicormic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Length (cm)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Length (cm)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Length (cm)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6.2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5.2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7.5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10.7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7.1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8.4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6.9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14.3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17.6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6.5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11.5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9.9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22.9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30.1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8.5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12.8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12.5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27.4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38.7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11.7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14.8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51.1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13.6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16.6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31.1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63.1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11.0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18.0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31.4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71.8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10.1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20.7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31.4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90.0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11.6</w:t>
            </w:r>
          </w:p>
        </w:tc>
      </w:tr>
      <w:tr w:rsidR="005331C2" w:rsidRPr="005331C2" w:rsidTr="00032F1E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13.6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21.7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31.6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96.2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C2" w:rsidRPr="005331C2" w:rsidRDefault="005331C2" w:rsidP="005331C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1C2">
              <w:rPr>
                <w:rFonts w:ascii="Calibri" w:eastAsia="Times New Roman" w:hAnsi="Calibri" w:cs="Times New Roman"/>
                <w:color w:val="000000"/>
                <w:lang w:eastAsia="it-IT"/>
              </w:rPr>
              <w:t>14.3</w:t>
            </w:r>
          </w:p>
        </w:tc>
      </w:tr>
    </w:tbl>
    <w:p w:rsidR="005331C2" w:rsidRDefault="005331C2" w:rsidP="005331C2">
      <w:pPr>
        <w:rPr>
          <w:lang w:val="en-US"/>
        </w:rPr>
      </w:pPr>
    </w:p>
    <w:p w:rsidR="00F36B77" w:rsidRPr="00C90285" w:rsidRDefault="00780863" w:rsidP="00F36B77">
      <w:pPr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32F1E" w:rsidRPr="00032F1E" w:rsidRDefault="00032F1E" w:rsidP="00032F1E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  <w:r w:rsidRPr="00032F1E"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Supplementary Table </w:t>
      </w:r>
      <w:r w:rsidRPr="00032F1E">
        <w:rPr>
          <w:rFonts w:ascii="Times New Roman" w:hAnsi="Times New Roman" w:cs="Times New Roman"/>
          <w:color w:val="auto"/>
          <w:sz w:val="24"/>
        </w:rPr>
        <w:fldChar w:fldCharType="begin"/>
      </w:r>
      <w:r w:rsidRPr="00032F1E">
        <w:rPr>
          <w:rFonts w:ascii="Times New Roman" w:hAnsi="Times New Roman" w:cs="Times New Roman"/>
          <w:color w:val="auto"/>
          <w:sz w:val="24"/>
          <w:lang w:val="en-US"/>
        </w:rPr>
        <w:instrText xml:space="preserve"> SEQ Table \* ARABIC </w:instrText>
      </w:r>
      <w:r w:rsidRPr="00032F1E">
        <w:rPr>
          <w:rFonts w:ascii="Times New Roman" w:hAnsi="Times New Roman" w:cs="Times New Roman"/>
          <w:color w:val="auto"/>
          <w:sz w:val="24"/>
        </w:rPr>
        <w:fldChar w:fldCharType="separate"/>
      </w:r>
      <w:r w:rsidR="00780863">
        <w:rPr>
          <w:rFonts w:ascii="Times New Roman" w:hAnsi="Times New Roman" w:cs="Times New Roman"/>
          <w:noProof/>
          <w:color w:val="auto"/>
          <w:sz w:val="24"/>
          <w:lang w:val="en-US"/>
        </w:rPr>
        <w:t>3</w:t>
      </w:r>
      <w:r w:rsidRPr="00032F1E">
        <w:rPr>
          <w:rFonts w:ascii="Times New Roman" w:hAnsi="Times New Roman" w:cs="Times New Roman"/>
          <w:color w:val="auto"/>
          <w:sz w:val="24"/>
        </w:rPr>
        <w:fldChar w:fldCharType="end"/>
      </w:r>
      <w:r w:rsidRPr="00032F1E">
        <w:rPr>
          <w:rFonts w:ascii="Times New Roman" w:hAnsi="Times New Roman" w:cs="Times New Roman"/>
          <w:color w:val="auto"/>
          <w:sz w:val="24"/>
          <w:lang w:val="en-US"/>
        </w:rPr>
        <w:t xml:space="preserve">: </w:t>
      </w:r>
      <w:r w:rsidR="00463B7E">
        <w:rPr>
          <w:rFonts w:ascii="Times New Roman" w:hAnsi="Times New Roman" w:cs="Times New Roman"/>
          <w:color w:val="auto"/>
          <w:sz w:val="24"/>
          <w:lang w:val="en-US"/>
        </w:rPr>
        <w:t xml:space="preserve">Shoot </w:t>
      </w:r>
      <w:r w:rsidR="00463B7E" w:rsidRPr="00032F1E">
        <w:rPr>
          <w:rFonts w:ascii="Times New Roman" w:hAnsi="Times New Roman" w:cs="Times New Roman"/>
          <w:color w:val="auto"/>
          <w:sz w:val="24"/>
          <w:lang w:val="en-US"/>
        </w:rPr>
        <w:t>Relative Elongation Rate (RER)</w:t>
      </w:r>
      <w:r w:rsidR="00463B7E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D14C6D">
        <w:rPr>
          <w:rFonts w:ascii="Times New Roman" w:hAnsi="Times New Roman" w:cs="Times New Roman"/>
          <w:color w:val="auto"/>
          <w:sz w:val="24"/>
          <w:lang w:val="en-US"/>
        </w:rPr>
        <w:t>during the growing season</w:t>
      </w:r>
      <w:r w:rsidRPr="00032F1E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="00463B7E" w:rsidRP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The 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>mean and standard deviation (SD) for f</w:t>
      </w:r>
      <w:r w:rsidR="00463B7E"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ruited (Fru) and defruited (Def) trees, and for proleptic and epicormic shoots extracted from the Def population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are shown</w:t>
      </w:r>
      <w:r w:rsid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in respect to </w:t>
      </w:r>
      <w:r w:rsidR="00D14C6D" w:rsidRPr="00D14C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  <w:t>the Day of the Year (DOY)</w:t>
      </w:r>
      <w:r w:rsidR="00463B7E"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.</w:t>
      </w:r>
    </w:p>
    <w:tbl>
      <w:tblPr>
        <w:tblW w:w="8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480"/>
        <w:gridCol w:w="1460"/>
        <w:gridCol w:w="480"/>
        <w:gridCol w:w="1460"/>
        <w:gridCol w:w="480"/>
        <w:gridCol w:w="1460"/>
        <w:gridCol w:w="531"/>
      </w:tblGrid>
      <w:tr w:rsidR="00E144B1" w:rsidRPr="00E144B1" w:rsidTr="00E144B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Def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Proleptic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Epicormic</w:t>
            </w:r>
          </w:p>
        </w:tc>
      </w:tr>
      <w:tr w:rsidR="00E144B1" w:rsidRPr="00E144B1" w:rsidTr="00E144B1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RER                   (mm m</w:t>
            </w:r>
            <w:r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RER                   (mm m</w:t>
            </w:r>
            <w:r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RER                   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(mm m</w:t>
            </w:r>
            <w:r w:rsidR="00D14C6D"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="00D14C6D"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RER                   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(mm m</w:t>
            </w:r>
            <w:r w:rsidR="00D14C6D"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="00D14C6D" w:rsidRPr="00D14C6D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4.6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11.0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3.2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10.7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4.0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3.9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</w:tr>
    </w:tbl>
    <w:p w:rsidR="00E144B1" w:rsidRDefault="00E144B1" w:rsidP="005331C2">
      <w:pPr>
        <w:rPr>
          <w:lang w:val="en-US"/>
        </w:rPr>
      </w:pPr>
    </w:p>
    <w:p w:rsidR="00F36B77" w:rsidRPr="00032F1E" w:rsidRDefault="00F36B77" w:rsidP="00F36B77">
      <w:pPr>
        <w:pStyle w:val="Caption"/>
        <w:keepNext/>
        <w:rPr>
          <w:lang w:val="en-US"/>
        </w:rPr>
      </w:pPr>
      <w:r w:rsidRPr="00532499">
        <w:rPr>
          <w:rFonts w:ascii="Times New Roman" w:hAnsi="Times New Roman" w:cs="Times New Roman"/>
          <w:color w:val="auto"/>
          <w:sz w:val="24"/>
          <w:szCs w:val="24"/>
          <w:lang w:val="en-US"/>
        </w:rPr>
        <w:t>Supplementary</w:t>
      </w:r>
      <w:r w:rsidRPr="00032F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53249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E1565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Coefficients of the linear model </w:t>
      </w:r>
      <w:r w:rsidRPr="00E1565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predicting stem basal diameter from stem length, Treatment and day of the year (DOY).</w:t>
      </w:r>
      <w:r w:rsidRPr="0053249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 xml:space="preserve"> Stars indicate level of significancy: ***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&lt;</w:t>
      </w:r>
      <w:r w:rsidRPr="0053249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= 0.001.</w:t>
      </w:r>
    </w:p>
    <w:tbl>
      <w:tblPr>
        <w:tblW w:w="6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609"/>
        <w:gridCol w:w="1295"/>
        <w:gridCol w:w="1050"/>
        <w:gridCol w:w="160"/>
      </w:tblGrid>
      <w:tr w:rsidR="00F36B77" w:rsidRPr="00E5624E" w:rsidTr="00220541">
        <w:trPr>
          <w:trHeight w:val="397"/>
          <w:jc w:val="center"/>
        </w:trPr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log(Basal Diameter) = log(Shoot length) + Treatment + DOY</w:t>
            </w:r>
          </w:p>
        </w:tc>
      </w:tr>
      <w:tr w:rsidR="00F36B77" w:rsidRPr="005331C2" w:rsidTr="00220541">
        <w:trPr>
          <w:trHeight w:val="397"/>
          <w:jc w:val="center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Coefficient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36B77" w:rsidRPr="005331C2" w:rsidTr="00220541">
        <w:trPr>
          <w:trHeight w:val="510"/>
          <w:jc w:val="center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Intercept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0.5042698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1.39E-14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***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36B77" w:rsidRPr="005331C2" w:rsidTr="00220541">
        <w:trPr>
          <w:trHeight w:val="510"/>
          <w:jc w:val="center"/>
        </w:trPr>
        <w:tc>
          <w:tcPr>
            <w:tcW w:w="198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(Shoot length)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0.3332974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 2e-16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36B77" w:rsidRPr="005331C2" w:rsidTr="00220541">
        <w:trPr>
          <w:trHeight w:val="510"/>
          <w:jc w:val="center"/>
        </w:trPr>
        <w:tc>
          <w:tcPr>
            <w:tcW w:w="198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Treatment (FRU)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-0.1955248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 2e-16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36B77" w:rsidRPr="005331C2" w:rsidTr="00220541">
        <w:trPr>
          <w:trHeight w:val="510"/>
          <w:jc w:val="center"/>
        </w:trPr>
        <w:tc>
          <w:tcPr>
            <w:tcW w:w="19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DOY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0.0005363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7" w:rsidRPr="00532499" w:rsidRDefault="00F36B77" w:rsidP="0022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0.000226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32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7" w:rsidRPr="00532499" w:rsidRDefault="00F36B77" w:rsidP="0022054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E1565A" w:rsidRDefault="00E1565A" w:rsidP="005331C2">
      <w:pPr>
        <w:rPr>
          <w:lang w:val="en-US"/>
        </w:rPr>
      </w:pPr>
    </w:p>
    <w:p w:rsidR="00E1565A" w:rsidRDefault="00E1565A">
      <w:pPr>
        <w:rPr>
          <w:lang w:val="en-US"/>
        </w:rPr>
      </w:pPr>
      <w:r>
        <w:rPr>
          <w:lang w:val="en-US"/>
        </w:rPr>
        <w:br w:type="page"/>
      </w:r>
    </w:p>
    <w:p w:rsidR="00032F1E" w:rsidRPr="00236CCD" w:rsidRDefault="00236CCD" w:rsidP="00032F1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r w:rsidRPr="00236CCD"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Supplementary </w:t>
      </w:r>
      <w:r w:rsidR="00032F1E" w:rsidRPr="00236CCD">
        <w:rPr>
          <w:rFonts w:ascii="Times New Roman" w:hAnsi="Times New Roman" w:cs="Times New Roman"/>
          <w:color w:val="auto"/>
          <w:sz w:val="24"/>
          <w:lang w:val="en-US"/>
        </w:rPr>
        <w:t xml:space="preserve">Table </w:t>
      </w:r>
      <w:r w:rsidR="00F36B77" w:rsidRPr="00F36B77">
        <w:rPr>
          <w:rFonts w:ascii="Times New Roman" w:hAnsi="Times New Roman" w:cs="Times New Roman"/>
          <w:color w:val="auto"/>
          <w:sz w:val="24"/>
          <w:lang w:val="en-US"/>
        </w:rPr>
        <w:t>5</w:t>
      </w:r>
      <w:r w:rsidR="00032F1E" w:rsidRPr="00236CCD">
        <w:rPr>
          <w:rFonts w:ascii="Times New Roman" w:hAnsi="Times New Roman" w:cs="Times New Roman"/>
          <w:color w:val="auto"/>
          <w:sz w:val="24"/>
          <w:lang w:val="en-US"/>
        </w:rPr>
        <w:t xml:space="preserve">: </w:t>
      </w:r>
      <w:r w:rsidR="00463B7E">
        <w:rPr>
          <w:rFonts w:ascii="Times New Roman" w:hAnsi="Times New Roman" w:cs="Times New Roman"/>
          <w:color w:val="auto"/>
          <w:sz w:val="24"/>
          <w:lang w:val="en-US"/>
        </w:rPr>
        <w:t>S</w:t>
      </w:r>
      <w:r w:rsidR="00032F1E" w:rsidRPr="00236CCD">
        <w:rPr>
          <w:rFonts w:ascii="Times New Roman" w:hAnsi="Times New Roman" w:cs="Times New Roman"/>
          <w:color w:val="auto"/>
          <w:sz w:val="24"/>
          <w:lang w:val="en-US"/>
        </w:rPr>
        <w:t>hoot dry weight</w:t>
      </w:r>
      <w:r w:rsidR="00463B7E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D14C6D">
        <w:rPr>
          <w:rFonts w:ascii="Times New Roman" w:hAnsi="Times New Roman" w:cs="Times New Roman"/>
          <w:color w:val="auto"/>
          <w:sz w:val="24"/>
          <w:lang w:val="en-US"/>
        </w:rPr>
        <w:t>during the growing season</w:t>
      </w:r>
      <w:r w:rsidR="00463B7E" w:rsidRPr="00032F1E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="00463B7E" w:rsidRP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The 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>mean and standard deviation (SD) for f</w:t>
      </w:r>
      <w:r w:rsidR="00463B7E"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ruited (Fru) and defruited (Def) trees, and for proleptic and epicormic shoots extracted from the Def population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are shown</w:t>
      </w:r>
      <w:r w:rsid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in respect to </w:t>
      </w:r>
      <w:r w:rsidR="00D14C6D" w:rsidRPr="00D14C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  <w:t>the Day of the Year (DOY)</w:t>
      </w:r>
      <w:r w:rsidR="00463B7E"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>.</w:t>
      </w:r>
    </w:p>
    <w:tbl>
      <w:tblPr>
        <w:tblW w:w="8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92"/>
        <w:gridCol w:w="419"/>
        <w:gridCol w:w="1492"/>
        <w:gridCol w:w="419"/>
        <w:gridCol w:w="1492"/>
        <w:gridCol w:w="419"/>
        <w:gridCol w:w="1473"/>
        <w:gridCol w:w="531"/>
      </w:tblGrid>
      <w:tr w:rsidR="00E144B1" w:rsidRPr="00E144B1" w:rsidTr="00E144B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Def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Proleptic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Epicormic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2.7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3.5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5.7</w:t>
            </w:r>
          </w:p>
        </w:tc>
      </w:tr>
      <w:tr w:rsidR="00E144B1" w:rsidRPr="00E144B1" w:rsidTr="00E144B1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25.4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4B1" w:rsidRPr="00E144B1" w:rsidRDefault="00E144B1" w:rsidP="00E144B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144B1">
              <w:rPr>
                <w:rFonts w:ascii="Calibri" w:eastAsia="Times New Roman" w:hAnsi="Calibri" w:cs="Times New Roman"/>
                <w:color w:val="000000"/>
                <w:lang w:eastAsia="it-IT"/>
              </w:rPr>
              <w:t>10.3</w:t>
            </w:r>
          </w:p>
        </w:tc>
      </w:tr>
    </w:tbl>
    <w:p w:rsidR="00834770" w:rsidRDefault="00834770" w:rsidP="00834770">
      <w:pPr>
        <w:rPr>
          <w:lang w:val="en-US"/>
        </w:rPr>
      </w:pPr>
    </w:p>
    <w:p w:rsidR="00236CCD" w:rsidRPr="00236CCD" w:rsidRDefault="00236CCD" w:rsidP="00E1565A">
      <w:pPr>
        <w:rPr>
          <w:rFonts w:ascii="Times New Roman" w:hAnsi="Times New Roman" w:cs="Times New Roman"/>
          <w:b/>
          <w:sz w:val="24"/>
          <w:lang w:val="en-US"/>
        </w:rPr>
      </w:pPr>
      <w:r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 xml:space="preserve">Supplementary Table </w:t>
      </w:r>
      <w:r w:rsidR="00F36B77"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6</w:t>
      </w:r>
      <w:r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 xml:space="preserve">: </w:t>
      </w:r>
      <w:r w:rsidR="00463B7E"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S</w:t>
      </w:r>
      <w:r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hoot Relative Growth Rate (RGR</w:t>
      </w:r>
      <w:r w:rsidR="00463B7E"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 xml:space="preserve">) </w:t>
      </w:r>
      <w:r w:rsidR="00D14C6D"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during the growing season</w:t>
      </w:r>
      <w:r w:rsidR="00463B7E" w:rsidRPr="00E1565A">
        <w:rPr>
          <w:rFonts w:ascii="Times New Roman" w:hAnsi="Times New Roman" w:cs="Times New Roman"/>
          <w:b/>
          <w:sz w:val="24"/>
          <w:lang w:val="en-US"/>
        </w:rPr>
        <w:t>.</w:t>
      </w:r>
      <w:r w:rsidR="00463B7E" w:rsidRPr="00E1565A">
        <w:rPr>
          <w:rFonts w:ascii="Times New Roman" w:hAnsi="Times New Roman" w:cs="Times New Roman"/>
          <w:sz w:val="24"/>
          <w:lang w:val="en-US"/>
        </w:rPr>
        <w:t xml:space="preserve"> The mean and standard deviation (SD) for fruited (Fru) and defruited (Def) trees, and for proleptic and epicormic shoots extracted from the Def population </w:t>
      </w:r>
      <w:r w:rsidR="00D14C6D" w:rsidRPr="00E1565A">
        <w:rPr>
          <w:rFonts w:ascii="Times New Roman" w:hAnsi="Times New Roman" w:cs="Times New Roman"/>
          <w:sz w:val="24"/>
          <w:lang w:val="en-US"/>
        </w:rPr>
        <w:t>are</w:t>
      </w:r>
      <w:r w:rsidR="00463B7E" w:rsidRPr="00E1565A">
        <w:rPr>
          <w:rFonts w:ascii="Times New Roman" w:hAnsi="Times New Roman" w:cs="Times New Roman"/>
          <w:sz w:val="24"/>
          <w:lang w:val="en-US"/>
        </w:rPr>
        <w:t xml:space="preserve"> shown</w:t>
      </w:r>
      <w:r w:rsidR="00D14C6D" w:rsidRPr="00E1565A">
        <w:rPr>
          <w:rFonts w:ascii="Times New Roman" w:hAnsi="Times New Roman" w:cs="Times New Roman"/>
          <w:sz w:val="24"/>
          <w:lang w:val="en-US"/>
        </w:rPr>
        <w:t xml:space="preserve"> in respect to </w:t>
      </w:r>
      <w:r w:rsidR="00D14C6D" w:rsidRPr="00E1565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Day of the Year (DOY)</w:t>
      </w:r>
      <w:r w:rsidR="00463B7E" w:rsidRPr="00E1565A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W w:w="7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480"/>
        <w:gridCol w:w="1260"/>
        <w:gridCol w:w="480"/>
        <w:gridCol w:w="1260"/>
        <w:gridCol w:w="480"/>
        <w:gridCol w:w="1260"/>
        <w:gridCol w:w="531"/>
      </w:tblGrid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Def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Proleptic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Epicormic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RGR              (mg g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RGR              (mg g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RGR              (mg g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RGR              (mg g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83477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3.5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3.1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3.1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5.8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8.7</w:t>
            </w:r>
          </w:p>
        </w:tc>
      </w:tr>
      <w:tr w:rsidR="00834770" w:rsidRPr="00834770" w:rsidTr="000C7423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70" w:rsidRPr="00834770" w:rsidRDefault="00834770" w:rsidP="0083477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4770">
              <w:rPr>
                <w:rFonts w:ascii="Calibri" w:eastAsia="Times New Roman" w:hAnsi="Calibri" w:cs="Times New Roman"/>
                <w:color w:val="000000"/>
                <w:lang w:eastAsia="it-IT"/>
              </w:rPr>
              <w:t>12.1</w:t>
            </w:r>
          </w:p>
        </w:tc>
      </w:tr>
    </w:tbl>
    <w:p w:rsidR="00E1565A" w:rsidRDefault="00E1565A" w:rsidP="00236CCD">
      <w:pPr>
        <w:pStyle w:val="Caption"/>
        <w:rPr>
          <w:rFonts w:ascii="Times New Roman" w:hAnsi="Times New Roman" w:cs="Times New Roman"/>
          <w:color w:val="auto"/>
          <w:sz w:val="24"/>
          <w:lang w:val="en-US"/>
        </w:rPr>
      </w:pPr>
    </w:p>
    <w:p w:rsidR="00E1565A" w:rsidRDefault="00E1565A" w:rsidP="00E1565A">
      <w:pPr>
        <w:rPr>
          <w:szCs w:val="18"/>
          <w:lang w:val="en-US"/>
        </w:rPr>
      </w:pPr>
      <w:r>
        <w:rPr>
          <w:lang w:val="en-US"/>
        </w:rPr>
        <w:br w:type="page"/>
      </w:r>
    </w:p>
    <w:p w:rsidR="00463B7E" w:rsidRPr="00D14C6D" w:rsidRDefault="00CA10BD" w:rsidP="00463B7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r w:rsidRPr="00CA10BD"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Supplementary Table </w:t>
      </w:r>
      <w:r w:rsidR="00F36B77" w:rsidRPr="00F36B77">
        <w:rPr>
          <w:rFonts w:ascii="Times New Roman" w:hAnsi="Times New Roman" w:cs="Times New Roman"/>
          <w:color w:val="auto"/>
          <w:sz w:val="24"/>
          <w:lang w:val="en-US"/>
        </w:rPr>
        <w:t>7</w:t>
      </w:r>
      <w:r w:rsidRPr="00CA10BD">
        <w:rPr>
          <w:rFonts w:ascii="Times New Roman" w:hAnsi="Times New Roman" w:cs="Times New Roman"/>
          <w:color w:val="auto"/>
          <w:sz w:val="24"/>
          <w:lang w:val="en-US"/>
        </w:rPr>
        <w:t xml:space="preserve">: Mean </w:t>
      </w:r>
      <w:r>
        <w:rPr>
          <w:rFonts w:ascii="Times New Roman" w:hAnsi="Times New Roman" w:cs="Times New Roman"/>
          <w:color w:val="auto"/>
          <w:sz w:val="24"/>
          <w:lang w:val="en-US"/>
        </w:rPr>
        <w:t>dry weight of the above ground woody biomass</w:t>
      </w:r>
      <w:r w:rsidR="00D14C6D">
        <w:rPr>
          <w:rFonts w:ascii="Times New Roman" w:hAnsi="Times New Roman" w:cs="Times New Roman"/>
          <w:color w:val="auto"/>
          <w:sz w:val="24"/>
          <w:lang w:val="en-US"/>
        </w:rPr>
        <w:t xml:space="preserve"> during the growing season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="00463B7E" w:rsidRP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The 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>mean and standard deviation (SD) for f</w:t>
      </w:r>
      <w:r w:rsidR="00463B7E" w:rsidRPr="00032F1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ruited (Fru) and defruited (Def) trees, and for 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the Max Def tree </w:t>
      </w:r>
      <w:r w:rsid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>are</w:t>
      </w:r>
      <w:r w:rsidR="00463B7E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shown</w:t>
      </w:r>
      <w:r w:rsid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in respect to </w:t>
      </w:r>
      <w:r w:rsidR="00D14C6D" w:rsidRPr="00D14C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it-IT"/>
        </w:rPr>
        <w:t>the Day of the Year (DOY)</w:t>
      </w:r>
      <w:r w:rsidR="00463B7E" w:rsidRPr="00D14C6D">
        <w:rPr>
          <w:rFonts w:ascii="Times New Roman" w:hAnsi="Times New Roman" w:cs="Times New Roman"/>
          <w:b w:val="0"/>
          <w:color w:val="auto"/>
          <w:sz w:val="24"/>
          <w:lang w:val="en-US"/>
        </w:rPr>
        <w:t>.</w:t>
      </w:r>
    </w:p>
    <w:tbl>
      <w:tblPr>
        <w:tblW w:w="7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7"/>
        <w:gridCol w:w="419"/>
        <w:gridCol w:w="1647"/>
        <w:gridCol w:w="419"/>
        <w:gridCol w:w="1620"/>
        <w:gridCol w:w="377"/>
      </w:tblGrid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Def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MaxDef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(Kg)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(Kg)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(Kg)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4.9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51.5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8.4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4.9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8.4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4.9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51.2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4.9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8.6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51.5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52.3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  <w:tr w:rsidR="002B5560" w:rsidRPr="002B5560" w:rsidTr="002B5560">
        <w:trPr>
          <w:trHeight w:val="397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50.8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53.4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52.9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560" w:rsidRPr="002B5560" w:rsidRDefault="002B5560" w:rsidP="002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5560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</w:tbl>
    <w:p w:rsidR="00CF12C6" w:rsidRDefault="00CF12C6" w:rsidP="00450812">
      <w:pPr>
        <w:rPr>
          <w:lang w:val="en-US"/>
        </w:rPr>
      </w:pPr>
    </w:p>
    <w:p w:rsidR="00D14C6D" w:rsidRPr="00D14C6D" w:rsidRDefault="00D14C6D" w:rsidP="00E1565A">
      <w:pPr>
        <w:rPr>
          <w:rFonts w:ascii="Times New Roman" w:hAnsi="Times New Roman" w:cs="Times New Roman"/>
          <w:b/>
          <w:sz w:val="24"/>
          <w:lang w:val="en-US"/>
        </w:rPr>
      </w:pPr>
      <w:r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 xml:space="preserve">Supplementary Table </w:t>
      </w:r>
      <w:r w:rsidR="00F36B77"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8</w:t>
      </w:r>
      <w:r w:rsidRPr="00E1565A">
        <w:rPr>
          <w:rFonts w:ascii="Times New Roman" w:hAnsi="Times New Roman" w:cs="Times New Roman"/>
          <w:b/>
          <w:bCs/>
          <w:sz w:val="24"/>
          <w:szCs w:val="18"/>
          <w:lang w:val="en-US"/>
        </w:rPr>
        <w:t>: Fruit dry weight and Relative Growth Rate (RGR) during the growing season.</w:t>
      </w:r>
      <w:r w:rsidRPr="00D14C6D">
        <w:rPr>
          <w:rFonts w:ascii="Times New Roman" w:hAnsi="Times New Roman" w:cs="Times New Roman"/>
          <w:sz w:val="24"/>
          <w:lang w:val="en-US"/>
        </w:rPr>
        <w:t xml:space="preserve"> </w:t>
      </w:r>
      <w:r w:rsidRPr="00E1565A">
        <w:rPr>
          <w:rFonts w:ascii="Times New Roman" w:hAnsi="Times New Roman" w:cs="Times New Roman"/>
          <w:bCs/>
          <w:sz w:val="24"/>
          <w:szCs w:val="18"/>
          <w:lang w:val="en-US"/>
        </w:rPr>
        <w:t>The mean and standard deviation (SD) for fruited (Fru) and defruited (Thi) trees are shown in respect to the Day of the Year (DOY).</w:t>
      </w:r>
    </w:p>
    <w:tbl>
      <w:tblPr>
        <w:tblW w:w="9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6"/>
        <w:gridCol w:w="419"/>
        <w:gridCol w:w="1213"/>
        <w:gridCol w:w="419"/>
        <w:gridCol w:w="2220"/>
        <w:gridCol w:w="517"/>
        <w:gridCol w:w="1446"/>
        <w:gridCol w:w="517"/>
      </w:tblGrid>
      <w:tr w:rsidR="00CF12C6" w:rsidRPr="00CF12C6" w:rsidTr="00D14C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Fru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Thi</w:t>
            </w:r>
          </w:p>
        </w:tc>
      </w:tr>
      <w:tr w:rsidR="00CF12C6" w:rsidRPr="00CF12C6" w:rsidTr="00D14C6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DOY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RGR              (mg g</w:t>
            </w:r>
            <w:r w:rsidRPr="00CF12C6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Pr="00CF12C6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Dry Weight (g)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RGR              </w:t>
            </w:r>
            <w:r w:rsidR="00D14C6D"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(mg g</w:t>
            </w:r>
            <w:r w:rsidR="00D14C6D" w:rsidRPr="00CF12C6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°C</w:t>
            </w:r>
            <w:r w:rsidR="00D14C6D" w:rsidRPr="00CF12C6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-1</w:t>
            </w:r>
            <w:r w:rsidR="00D14C6D"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SD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133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9.6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2.7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5.9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7.3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148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3.5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7.3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0.8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9.8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8.2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11.5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17.6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218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18.3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26.7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20.1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29.7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5.4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1.0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234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22.2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7.2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33.5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5.9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0.6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23.3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7.9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36.4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6.2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0.4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26.1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8.6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40.2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7.4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</w:p>
        </w:tc>
      </w:tr>
      <w:tr w:rsidR="00CF12C6" w:rsidRPr="00CF12C6" w:rsidTr="00D1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28.3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9.0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44.1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8.5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6" w:rsidRPr="00CF12C6" w:rsidRDefault="00CF12C6" w:rsidP="00CF1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2C6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</w:tr>
    </w:tbl>
    <w:p w:rsidR="00CF12C6" w:rsidRPr="00450812" w:rsidRDefault="00CF12C6" w:rsidP="00450812">
      <w:pPr>
        <w:rPr>
          <w:lang w:val="en-US"/>
        </w:rPr>
      </w:pPr>
    </w:p>
    <w:sectPr w:rsidR="00CF12C6" w:rsidRPr="00450812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32" w:rsidRDefault="00FC1732">
      <w:pPr>
        <w:spacing w:after="0" w:line="240" w:lineRule="auto"/>
      </w:pPr>
      <w:r>
        <w:separator/>
      </w:r>
    </w:p>
  </w:endnote>
  <w:endnote w:type="continuationSeparator" w:id="0">
    <w:p w:rsidR="00FC1732" w:rsidRDefault="00FC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62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541" w:rsidRDefault="00220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541" w:rsidRDefault="00220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32" w:rsidRDefault="00FC1732">
      <w:pPr>
        <w:spacing w:after="0" w:line="240" w:lineRule="auto"/>
      </w:pPr>
      <w:r>
        <w:separator/>
      </w:r>
    </w:p>
  </w:footnote>
  <w:footnote w:type="continuationSeparator" w:id="0">
    <w:p w:rsidR="00FC1732" w:rsidRDefault="00FC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44355817"/>
    <w:multiLevelType w:val="multilevel"/>
    <w:tmpl w:val="5AF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A"/>
    <w:rsid w:val="000020FE"/>
    <w:rsid w:val="00002353"/>
    <w:rsid w:val="000025CA"/>
    <w:rsid w:val="00003412"/>
    <w:rsid w:val="00004438"/>
    <w:rsid w:val="00014A67"/>
    <w:rsid w:val="00023ADC"/>
    <w:rsid w:val="00031615"/>
    <w:rsid w:val="00032F1E"/>
    <w:rsid w:val="00060E8A"/>
    <w:rsid w:val="00065818"/>
    <w:rsid w:val="00066CE6"/>
    <w:rsid w:val="00097104"/>
    <w:rsid w:val="000C12BD"/>
    <w:rsid w:val="000C2F3F"/>
    <w:rsid w:val="000C7423"/>
    <w:rsid w:val="000D4122"/>
    <w:rsid w:val="000D63C1"/>
    <w:rsid w:val="000D7B53"/>
    <w:rsid w:val="000E2D62"/>
    <w:rsid w:val="000E6E3C"/>
    <w:rsid w:val="000F25BE"/>
    <w:rsid w:val="000F6FE8"/>
    <w:rsid w:val="0014175B"/>
    <w:rsid w:val="0015182B"/>
    <w:rsid w:val="001521D3"/>
    <w:rsid w:val="00155014"/>
    <w:rsid w:val="0016020E"/>
    <w:rsid w:val="00170512"/>
    <w:rsid w:val="001770E7"/>
    <w:rsid w:val="00177614"/>
    <w:rsid w:val="001B4FDF"/>
    <w:rsid w:val="001C0BF7"/>
    <w:rsid w:val="001C12C2"/>
    <w:rsid w:val="001C3AF3"/>
    <w:rsid w:val="001D3653"/>
    <w:rsid w:val="001D79A9"/>
    <w:rsid w:val="00201093"/>
    <w:rsid w:val="00214AE0"/>
    <w:rsid w:val="002171C6"/>
    <w:rsid w:val="00220541"/>
    <w:rsid w:val="00223AD8"/>
    <w:rsid w:val="00226FAD"/>
    <w:rsid w:val="002343EE"/>
    <w:rsid w:val="00236CCD"/>
    <w:rsid w:val="00243AD0"/>
    <w:rsid w:val="0024519A"/>
    <w:rsid w:val="00252142"/>
    <w:rsid w:val="0025302A"/>
    <w:rsid w:val="00255A1A"/>
    <w:rsid w:val="0026227F"/>
    <w:rsid w:val="002660B0"/>
    <w:rsid w:val="00276DA5"/>
    <w:rsid w:val="00281F4D"/>
    <w:rsid w:val="00293C41"/>
    <w:rsid w:val="0029455A"/>
    <w:rsid w:val="002A5CBD"/>
    <w:rsid w:val="002A781E"/>
    <w:rsid w:val="002B286E"/>
    <w:rsid w:val="002B5560"/>
    <w:rsid w:val="002C1BDF"/>
    <w:rsid w:val="002C3695"/>
    <w:rsid w:val="002C7551"/>
    <w:rsid w:val="002D5AD6"/>
    <w:rsid w:val="002E50E1"/>
    <w:rsid w:val="002E7618"/>
    <w:rsid w:val="002F43E9"/>
    <w:rsid w:val="002F4B0E"/>
    <w:rsid w:val="002F4C55"/>
    <w:rsid w:val="00312CE7"/>
    <w:rsid w:val="00322F27"/>
    <w:rsid w:val="00327BD3"/>
    <w:rsid w:val="00335BC4"/>
    <w:rsid w:val="003472FC"/>
    <w:rsid w:val="0035050D"/>
    <w:rsid w:val="00355434"/>
    <w:rsid w:val="0036416C"/>
    <w:rsid w:val="003839EA"/>
    <w:rsid w:val="00384547"/>
    <w:rsid w:val="003A119A"/>
    <w:rsid w:val="003A3473"/>
    <w:rsid w:val="003A3479"/>
    <w:rsid w:val="003A3A11"/>
    <w:rsid w:val="003A7A9B"/>
    <w:rsid w:val="003B4B7A"/>
    <w:rsid w:val="003B69F3"/>
    <w:rsid w:val="003C4449"/>
    <w:rsid w:val="003E0800"/>
    <w:rsid w:val="003E1947"/>
    <w:rsid w:val="003E1F55"/>
    <w:rsid w:val="00400610"/>
    <w:rsid w:val="00404C4D"/>
    <w:rsid w:val="004078C9"/>
    <w:rsid w:val="00421E0E"/>
    <w:rsid w:val="00432FD7"/>
    <w:rsid w:val="004340E9"/>
    <w:rsid w:val="004438D5"/>
    <w:rsid w:val="00445E85"/>
    <w:rsid w:val="00447CEF"/>
    <w:rsid w:val="00450812"/>
    <w:rsid w:val="00463B7E"/>
    <w:rsid w:val="00466505"/>
    <w:rsid w:val="0047420C"/>
    <w:rsid w:val="004759EB"/>
    <w:rsid w:val="00476A1A"/>
    <w:rsid w:val="00484331"/>
    <w:rsid w:val="004C14BC"/>
    <w:rsid w:val="004C3CE5"/>
    <w:rsid w:val="004D3553"/>
    <w:rsid w:val="004E0A69"/>
    <w:rsid w:val="004E757C"/>
    <w:rsid w:val="004F51FF"/>
    <w:rsid w:val="00501125"/>
    <w:rsid w:val="005135E3"/>
    <w:rsid w:val="00514845"/>
    <w:rsid w:val="00520EE8"/>
    <w:rsid w:val="005265C3"/>
    <w:rsid w:val="00532499"/>
    <w:rsid w:val="005331C2"/>
    <w:rsid w:val="00567710"/>
    <w:rsid w:val="00570D17"/>
    <w:rsid w:val="0058470A"/>
    <w:rsid w:val="00590750"/>
    <w:rsid w:val="00595CA7"/>
    <w:rsid w:val="005960B5"/>
    <w:rsid w:val="005A40F1"/>
    <w:rsid w:val="005A6366"/>
    <w:rsid w:val="005C3F09"/>
    <w:rsid w:val="005D16C2"/>
    <w:rsid w:val="005F333C"/>
    <w:rsid w:val="00602A4B"/>
    <w:rsid w:val="00612A67"/>
    <w:rsid w:val="006173D7"/>
    <w:rsid w:val="00632244"/>
    <w:rsid w:val="00637371"/>
    <w:rsid w:val="00650DB1"/>
    <w:rsid w:val="00651E9A"/>
    <w:rsid w:val="00664191"/>
    <w:rsid w:val="00670875"/>
    <w:rsid w:val="00696BA7"/>
    <w:rsid w:val="006A106F"/>
    <w:rsid w:val="006B479E"/>
    <w:rsid w:val="006B69B9"/>
    <w:rsid w:val="006C60FE"/>
    <w:rsid w:val="006D0865"/>
    <w:rsid w:val="006D251E"/>
    <w:rsid w:val="006D29E0"/>
    <w:rsid w:val="007020F3"/>
    <w:rsid w:val="00706171"/>
    <w:rsid w:val="007316DF"/>
    <w:rsid w:val="00731EFA"/>
    <w:rsid w:val="00733A6A"/>
    <w:rsid w:val="007565C8"/>
    <w:rsid w:val="007635F4"/>
    <w:rsid w:val="00771A08"/>
    <w:rsid w:val="00773386"/>
    <w:rsid w:val="00780863"/>
    <w:rsid w:val="0079414F"/>
    <w:rsid w:val="007A0132"/>
    <w:rsid w:val="007B0F2F"/>
    <w:rsid w:val="007B3799"/>
    <w:rsid w:val="007C766A"/>
    <w:rsid w:val="007E3F74"/>
    <w:rsid w:val="00802F11"/>
    <w:rsid w:val="00812B14"/>
    <w:rsid w:val="0081634D"/>
    <w:rsid w:val="008176C5"/>
    <w:rsid w:val="00820252"/>
    <w:rsid w:val="008259FA"/>
    <w:rsid w:val="00834770"/>
    <w:rsid w:val="0084013B"/>
    <w:rsid w:val="0085710E"/>
    <w:rsid w:val="00860911"/>
    <w:rsid w:val="0086162C"/>
    <w:rsid w:val="008A27DF"/>
    <w:rsid w:val="008B7F20"/>
    <w:rsid w:val="008E3167"/>
    <w:rsid w:val="008E4EB4"/>
    <w:rsid w:val="009165F9"/>
    <w:rsid w:val="00920E3B"/>
    <w:rsid w:val="009302CF"/>
    <w:rsid w:val="00967D26"/>
    <w:rsid w:val="009760A1"/>
    <w:rsid w:val="009902BD"/>
    <w:rsid w:val="009B0FF9"/>
    <w:rsid w:val="009B1751"/>
    <w:rsid w:val="009B1B80"/>
    <w:rsid w:val="009B2D45"/>
    <w:rsid w:val="009D4681"/>
    <w:rsid w:val="009D5680"/>
    <w:rsid w:val="009E4F16"/>
    <w:rsid w:val="009F5F60"/>
    <w:rsid w:val="009F7830"/>
    <w:rsid w:val="00A30D7F"/>
    <w:rsid w:val="00A352C5"/>
    <w:rsid w:val="00A6477A"/>
    <w:rsid w:val="00A6771D"/>
    <w:rsid w:val="00A7532F"/>
    <w:rsid w:val="00A81C07"/>
    <w:rsid w:val="00AA1AA0"/>
    <w:rsid w:val="00AC19D0"/>
    <w:rsid w:val="00AD7073"/>
    <w:rsid w:val="00AE74AF"/>
    <w:rsid w:val="00AF0DD7"/>
    <w:rsid w:val="00AF2620"/>
    <w:rsid w:val="00AF6E46"/>
    <w:rsid w:val="00B0592C"/>
    <w:rsid w:val="00B17636"/>
    <w:rsid w:val="00B346CF"/>
    <w:rsid w:val="00B355CB"/>
    <w:rsid w:val="00B37793"/>
    <w:rsid w:val="00B5300D"/>
    <w:rsid w:val="00B67FC3"/>
    <w:rsid w:val="00B817C0"/>
    <w:rsid w:val="00B9106B"/>
    <w:rsid w:val="00BA06C7"/>
    <w:rsid w:val="00BA5318"/>
    <w:rsid w:val="00BB1626"/>
    <w:rsid w:val="00BB2C14"/>
    <w:rsid w:val="00BC4E3B"/>
    <w:rsid w:val="00BF60D9"/>
    <w:rsid w:val="00BF7E33"/>
    <w:rsid w:val="00C03CAC"/>
    <w:rsid w:val="00C31C92"/>
    <w:rsid w:val="00C411CC"/>
    <w:rsid w:val="00C61D25"/>
    <w:rsid w:val="00C6375F"/>
    <w:rsid w:val="00C66A2E"/>
    <w:rsid w:val="00C736E0"/>
    <w:rsid w:val="00C90285"/>
    <w:rsid w:val="00C9180A"/>
    <w:rsid w:val="00CA10BD"/>
    <w:rsid w:val="00CA127C"/>
    <w:rsid w:val="00CA40A5"/>
    <w:rsid w:val="00CA7052"/>
    <w:rsid w:val="00CC3441"/>
    <w:rsid w:val="00CD7DF7"/>
    <w:rsid w:val="00CF12C6"/>
    <w:rsid w:val="00CF7558"/>
    <w:rsid w:val="00D00AC6"/>
    <w:rsid w:val="00D02432"/>
    <w:rsid w:val="00D11452"/>
    <w:rsid w:val="00D14C6D"/>
    <w:rsid w:val="00D243E2"/>
    <w:rsid w:val="00D35856"/>
    <w:rsid w:val="00D55A77"/>
    <w:rsid w:val="00DB5BE4"/>
    <w:rsid w:val="00DC7B67"/>
    <w:rsid w:val="00DD4372"/>
    <w:rsid w:val="00DE3FFA"/>
    <w:rsid w:val="00DF3511"/>
    <w:rsid w:val="00DF7A78"/>
    <w:rsid w:val="00E144B1"/>
    <w:rsid w:val="00E1565A"/>
    <w:rsid w:val="00E167EB"/>
    <w:rsid w:val="00E23D19"/>
    <w:rsid w:val="00E369D8"/>
    <w:rsid w:val="00E36DA6"/>
    <w:rsid w:val="00E37A73"/>
    <w:rsid w:val="00E5624E"/>
    <w:rsid w:val="00E720EA"/>
    <w:rsid w:val="00EA4EF4"/>
    <w:rsid w:val="00EC26CD"/>
    <w:rsid w:val="00ED6CB9"/>
    <w:rsid w:val="00EE1D97"/>
    <w:rsid w:val="00EE6892"/>
    <w:rsid w:val="00EF5071"/>
    <w:rsid w:val="00F07001"/>
    <w:rsid w:val="00F26DF7"/>
    <w:rsid w:val="00F36B77"/>
    <w:rsid w:val="00F9203D"/>
    <w:rsid w:val="00F933B2"/>
    <w:rsid w:val="00FA0C67"/>
    <w:rsid w:val="00FA2D7A"/>
    <w:rsid w:val="00FA5494"/>
    <w:rsid w:val="00FA79C3"/>
    <w:rsid w:val="00FA7E04"/>
    <w:rsid w:val="00FB2D9D"/>
    <w:rsid w:val="00FC1732"/>
    <w:rsid w:val="00FC207B"/>
    <w:rsid w:val="00FC3033"/>
    <w:rsid w:val="00FC3349"/>
    <w:rsid w:val="00FC75F0"/>
    <w:rsid w:val="00FD4A27"/>
    <w:rsid w:val="00FE3468"/>
    <w:rsid w:val="00FE5B6A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322F27"/>
    <w:pPr>
      <w:numPr>
        <w:numId w:val="2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22F2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22F27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22F2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22F2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A78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DF7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35"/>
    <w:unhideWhenUsed/>
    <w:qFormat/>
    <w:rsid w:val="001B4FD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3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le"/>
    <w:next w:val="Title"/>
    <w:qFormat/>
    <w:rsid w:val="00FE3468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3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E3468"/>
    <w:pPr>
      <w:tabs>
        <w:tab w:val="center" w:pos="4819"/>
        <w:tab w:val="right" w:pos="9638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FE3468"/>
    <w:rPr>
      <w:rFonts w:eastAsia="Batang"/>
    </w:rPr>
  </w:style>
  <w:style w:type="character" w:customStyle="1" w:styleId="Heading1Char">
    <w:name w:val="Heading 1 Char"/>
    <w:basedOn w:val="DefaultParagraphFont"/>
    <w:link w:val="Heading1"/>
    <w:uiPriority w:val="2"/>
    <w:rsid w:val="00322F2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322F2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322F2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322F2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322F2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322F2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322F27"/>
    <w:pPr>
      <w:numPr>
        <w:numId w:val="2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22F2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22F27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22F2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22F2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A78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DF7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35"/>
    <w:unhideWhenUsed/>
    <w:qFormat/>
    <w:rsid w:val="001B4FD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3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le"/>
    <w:next w:val="Title"/>
    <w:qFormat/>
    <w:rsid w:val="00FE3468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3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E3468"/>
    <w:pPr>
      <w:tabs>
        <w:tab w:val="center" w:pos="4819"/>
        <w:tab w:val="right" w:pos="9638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FE3468"/>
    <w:rPr>
      <w:rFonts w:eastAsia="Batang"/>
    </w:rPr>
  </w:style>
  <w:style w:type="character" w:customStyle="1" w:styleId="Heading1Char">
    <w:name w:val="Heading 1 Char"/>
    <w:basedOn w:val="DefaultParagraphFont"/>
    <w:link w:val="Heading1"/>
    <w:uiPriority w:val="2"/>
    <w:rsid w:val="00322F2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322F2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322F2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322F2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322F2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322F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Id xmlns="28de4f29-e3d9-478e-b05a-16a8ff0eb393">Data Sheet 1.docx</DocumentId>
    <StageName xmlns="28de4f29-e3d9-478e-b05a-16a8ff0eb393">Author's Proof</StageName>
    <IsDeleted xmlns="28de4f29-e3d9-478e-b05a-16a8ff0eb393">false</IsDeleted>
    <FileFormat xmlns="28de4f29-e3d9-478e-b05a-16a8ff0eb393">DOCX</FileFormat>
    <TitleName xmlns="28de4f29-e3d9-478e-b05a-16a8ff0eb393">Data Sheet 1.docx</TitleName>
    <DocumentType xmlns="28de4f29-e3d9-478e-b05a-16a8ff0eb393">Data Sheet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6EFF20C8-91DC-4401-8DD1-72E32404E75A}"/>
</file>

<file path=customXml/itemProps2.xml><?xml version="1.0" encoding="utf-8"?>
<ds:datastoreItem xmlns:ds="http://schemas.openxmlformats.org/officeDocument/2006/customXml" ds:itemID="{F37E21FF-A9E7-464F-927E-76BE97B58C73}"/>
</file>

<file path=customXml/itemProps3.xml><?xml version="1.0" encoding="utf-8"?>
<ds:datastoreItem xmlns:ds="http://schemas.openxmlformats.org/officeDocument/2006/customXml" ds:itemID="{4BE4F501-1665-4CB6-AECA-08C61FA1AABF}"/>
</file>

<file path=customXml/itemProps4.xml><?xml version="1.0" encoding="utf-8"?>
<ds:datastoreItem xmlns:ds="http://schemas.openxmlformats.org/officeDocument/2006/customXml" ds:itemID="{2C297F6A-CAD7-4CF4-8B1C-3C1F5A4AF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reyes</dc:creator>
  <cp:lastModifiedBy>francesco reyes</cp:lastModifiedBy>
  <cp:revision>2</cp:revision>
  <dcterms:created xsi:type="dcterms:W3CDTF">2016-02-16T17:13:00Z</dcterms:created>
  <dcterms:modified xsi:type="dcterms:W3CDTF">2016-02-16T17:13:00Z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